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highlight w:val="white"/>
        </w:rPr>
      </w:pPr>
      <w:r>
        <w:rPr>
          <w:rFonts w:cs="Tahoma" w:ascii="Calibri" w:hAnsi="Calibri"/>
          <w:b/>
          <w:sz w:val="22"/>
          <w:szCs w:val="22"/>
          <w:highlight w:val="white"/>
          <w:lang w:val="it-IT"/>
        </w:rPr>
        <w:t xml:space="preserve">Lotto 2 </w:t>
      </w:r>
    </w:p>
    <w:p>
      <w:pPr>
        <w:pStyle w:val="Normal"/>
        <w:jc w:val="right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  <w:t xml:space="preserve">Offerta tecnica </w:t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</w:p>
    <w:p>
      <w:pPr>
        <w:pStyle w:val="Normal"/>
        <w:ind w:left="5580" w:hanging="0"/>
        <w:jc w:val="center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Spettabile</w:t>
      </w:r>
    </w:p>
    <w:p>
      <w:pPr>
        <w:pStyle w:val="Normal"/>
        <w:ind w:left="5580" w:hanging="0"/>
        <w:jc w:val="center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 xml:space="preserve">COMUNE DI BOLOGNA </w:t>
      </w:r>
    </w:p>
    <w:p>
      <w:pPr>
        <w:pStyle w:val="Normal"/>
        <w:ind w:left="5580" w:hanging="0"/>
        <w:jc w:val="center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U.I. ACQUISTI</w:t>
      </w:r>
      <w:r>
        <w:rPr>
          <w:rFonts w:cs="Tahoma" w:ascii="Calibri" w:hAnsi="Calibri" w:asciiTheme="minorHAnsi" w:hAnsiTheme="minorHAnsi"/>
          <w:sz w:val="22"/>
          <w:szCs w:val="22"/>
          <w:lang w:val="it-IT"/>
        </w:rPr>
        <w:t xml:space="preserve"> </w:t>
      </w:r>
    </w:p>
    <w:p>
      <w:pPr>
        <w:pStyle w:val="Normal"/>
        <w:ind w:left="5580" w:hanging="0"/>
        <w:jc w:val="center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Piazza Liber Paradisus n. 10</w:t>
      </w:r>
    </w:p>
    <w:p>
      <w:pPr>
        <w:pStyle w:val="Normal"/>
        <w:ind w:left="5580" w:hanging="0"/>
        <w:jc w:val="center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 xml:space="preserve">40129 Bologna  </w:t>
        <w:tab/>
        <w:t>(BO)</w:t>
      </w:r>
    </w:p>
    <w:p>
      <w:pPr>
        <w:pStyle w:val="Normal"/>
        <w:ind w:left="5580" w:hanging="0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ab/>
      </w:r>
    </w:p>
    <w:p>
      <w:pPr>
        <w:pStyle w:val="Normal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ind w:left="1440" w:hanging="1440"/>
        <w:jc w:val="both"/>
        <w:rPr/>
      </w:pPr>
      <w:r>
        <w:rPr>
          <w:rFonts w:cs="Tahoma" w:ascii="Calibri" w:hAnsi="Calibri" w:asciiTheme="minorHAnsi" w:hAnsiTheme="minorHAnsi"/>
          <w:b/>
          <w:sz w:val="22"/>
          <w:szCs w:val="22"/>
          <w:lang w:val="it-IT"/>
        </w:rPr>
        <w:t>OGGETTO:</w:t>
        <w:tab/>
        <w:t>Procedura per l’affidamento dei servizi assicurativi del Comune di Bologna  da aggiudicarsi mediante il criterio dell’offerta economicamente più vantaggiosa ai sensi dell’art. 95 D.lgs. 50/2016 e ss.mm.ii.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  <w:t>LOTTO 2) RCT/O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  <w:t>Il sottoscritto ………………………………………………… in qualità di …………………………………………………………… della Compagnia ………………………………….. e quindi in nome e per conto della Società offerente, nonché delle eventuali Società coassicuratrici, dichiara: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i/>
          <w:i/>
          <w:u w:val="single"/>
          <w:lang w:val="it-IT"/>
        </w:rPr>
      </w:pPr>
      <w:r>
        <w:rPr>
          <w:rFonts w:cs="Tahoma" w:ascii="Calibri" w:hAnsi="Calibri"/>
          <w:i/>
          <w:u w:val="single"/>
          <w:lang w:val="it-IT"/>
        </w:rPr>
        <w:t>(barrare la casella corrispondente)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Arial" w:ascii="Calibri" w:hAnsi="Calibri"/>
          <w:b/>
          <w:sz w:val="28"/>
          <w:szCs w:val="28"/>
          <w:lang w:val="it-IT"/>
        </w:rPr>
        <w:t>□</w:t>
      </w:r>
      <w:r>
        <w:rPr>
          <w:rFonts w:cs="Arial" w:ascii="Calibri" w:hAnsi="Calibri"/>
          <w:b/>
          <w:sz w:val="22"/>
          <w:szCs w:val="22"/>
          <w:lang w:val="it-IT"/>
        </w:rPr>
        <w:t xml:space="preserve"> </w:t>
      </w:r>
      <w:r>
        <w:rPr>
          <w:rFonts w:cs="Arial" w:ascii="Calibri" w:hAnsi="Calibri"/>
          <w:b/>
          <w:sz w:val="22"/>
          <w:szCs w:val="22"/>
          <w:lang w:val="it-IT"/>
        </w:rPr>
        <w:t>di accettare integralmente il capitolato tecnico, pertanto senza accettare alcuna variante migliorativa;</w:t>
      </w:r>
    </w:p>
    <w:p>
      <w:pPr>
        <w:pStyle w:val="Normal"/>
        <w:jc w:val="both"/>
        <w:rPr>
          <w:rFonts w:ascii="Calibri" w:hAnsi="Calibri" w:cs="Tahoma"/>
          <w:i/>
          <w:i/>
          <w:sz w:val="22"/>
          <w:szCs w:val="22"/>
          <w:lang w:val="it-IT"/>
        </w:rPr>
      </w:pPr>
      <w:r>
        <w:rPr>
          <w:rFonts w:cs="Tahoma" w:ascii="Calibri" w:hAnsi="Calibri"/>
          <w:i/>
          <w:sz w:val="22"/>
          <w:szCs w:val="22"/>
          <w:lang w:val="it-IT"/>
        </w:rPr>
        <w:t>in alternativa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Arial" w:ascii="Calibri" w:hAnsi="Calibri"/>
          <w:b/>
          <w:sz w:val="28"/>
          <w:szCs w:val="28"/>
          <w:lang w:val="it-IT"/>
        </w:rPr>
        <w:t>□</w:t>
      </w:r>
      <w:r>
        <w:rPr>
          <w:rFonts w:cs="Arial" w:ascii="Calibri" w:hAnsi="Calibri"/>
          <w:b/>
          <w:sz w:val="22"/>
          <w:szCs w:val="22"/>
          <w:lang w:val="it-IT"/>
        </w:rPr>
        <w:t xml:space="preserve"> </w:t>
      </w:r>
      <w:r>
        <w:rPr>
          <w:rFonts w:cs="Arial" w:ascii="Calibri" w:hAnsi="Calibri"/>
          <w:b/>
          <w:sz w:val="22"/>
          <w:szCs w:val="22"/>
          <w:lang w:val="it-IT"/>
        </w:rPr>
        <w:t>di accettare</w:t>
      </w:r>
      <w:r>
        <w:rPr>
          <w:rFonts w:cs="Tahoma" w:ascii="Calibri" w:hAnsi="Calibri"/>
          <w:b/>
          <w:sz w:val="22"/>
          <w:szCs w:val="22"/>
          <w:lang w:val="it-IT"/>
        </w:rPr>
        <w:t xml:space="preserve"> la/e seguente/ variante/i migliorativa/e alle condizioni del capitolato tecnico. E’ richiesto di barrare la casella prescelta per ogni tipologia di variante:</w:t>
      </w:r>
    </w:p>
    <w:p>
      <w:pPr>
        <w:pStyle w:val="Normal"/>
        <w:jc w:val="both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1)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it-IT"/>
              </w:rPr>
              <w:t xml:space="preserve">Inserimento della garanzia come di seguito precisata: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  <w:u w:val="single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szCs w:val="18"/>
                <w:u w:val="single"/>
                <w:lang w:val="it-IT" w:eastAsia="en-US"/>
              </w:rPr>
              <w:t>TERRORISMO E SABOTAGGIO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szCs w:val="18"/>
                <w:lang w:val="it-IT" w:eastAsia="en-US"/>
              </w:rPr>
              <w:t xml:space="preserve">A parziale deroga dell’articolo ESCLUSIONI, la Società si obbliga a tenere indenne l’assicurato di quanto questi sia tenuto a pagare, a titolo di risarcimento, quale civilmente responsabile ai sensi di legge, per danni corporali e materiali involontariamente cagionati a terzi e/o prestatori di lavoro del cui operato si avvalga, in relazione ad atti di terrorismo o sabotaggio. </w:t>
            </w: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 xml:space="preserve"> maggiore chiarimento e/o integrazione di quanto previsto, si precisa che la presenta garanzia </w:t>
            </w:r>
            <w:r>
              <w:rPr>
                <w:rFonts w:ascii="Calibri" w:hAnsi="Calibri" w:asciiTheme="minorHAnsi" w:hAnsiTheme="minorHAnsi"/>
                <w:sz w:val="18"/>
                <w:szCs w:val="18"/>
                <w:u w:val="single"/>
                <w:lang w:val="it-IT"/>
              </w:rPr>
              <w:t>non opera per</w:t>
            </w: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120" w:after="120"/>
              <w:jc w:val="both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danni conseguenti a rilascio o esposizione di agenti chimici;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120" w:after="120"/>
              <w:jc w:val="both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danni conseguenti ad attacchi elettronici /informatici, tra cui “computer hacking” o “computer virus”;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120" w:after="120"/>
              <w:jc w:val="both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Multe, penalità, danni a carattere punitivo o esemplare, nonché qualsiasi danno aggiuntivo risultante dalla moltiplicazione di danni compensativi;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120" w:after="120"/>
              <w:jc w:val="both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Danni connessi a turbamenti mentali, angoscia o shock qualora il soggetto reclamante non abbia riportato danni corporali.</w:t>
            </w:r>
          </w:p>
          <w:p>
            <w:pPr>
              <w:pStyle w:val="Normal"/>
              <w:snapToGrid w:val="false"/>
              <w:spacing w:before="120" w:after="120"/>
              <w:jc w:val="both"/>
              <w:rPr>
                <w:rFonts w:ascii="Calibri" w:hAnsi="Calibri" w:asciiTheme="minorHAnsi" w:hAnsiTheme="minorHAnsi"/>
                <w:b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u w:val="single"/>
              </w:rPr>
              <w:t>Definizione di terrorismo e sabotaggio</w:t>
            </w:r>
          </w:p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 w:asciiTheme="minorHAnsi" w:hAnsiTheme="minorHAnsi"/>
                <w:b/>
                <w:b/>
                <w:lang w:val="it-IT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  <w:t>Qualsiasi azione violenta diretta ad influenzare qualsiasi governo e/o terrorizzare l’intera popolazione o una parte di essa, allo scopo di raggiungere un fine politico o religioso o ideologico o etnico, se tale azione non può essere definita come atto di guerra, invasione, atti di nemici stranieri, ostilità, guerra civile, ribellione, insurrezione, colpo di stato o confisca , nazionalizzazione, requisizione e distrazione, o danno alla proprietà causato da o per ordine di governi o autorità pubbliche locali, o come atto avvenuto nel contesto di scioperi, sommosse, tumulti popolari o come atto di vandalico. La garanzia è prestata con scoperto del 10% minimo € 30.000,00e con il massimo risarcimento di (SI VEDA QUANTO INDICATO SOTTO)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€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1.000.000,00. PUNTI +1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€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2.000.000,00 PUNTI +3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€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3.000.000,00 PUNTI +5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+5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bookmarkStart w:id="0" w:name="_Hlk12372325"/>
            <w:bookmarkStart w:id="1" w:name="_Hlk12372325"/>
            <w:bookmarkEnd w:id="1"/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2)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Massimali RCT/O</w:t>
            </w:r>
          </w:p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Massimali (tabella massimali):</w:t>
            </w:r>
          </w:p>
          <w:p>
            <w:pPr>
              <w:pStyle w:val="Corpodeltesto"/>
              <w:widowControl w:val="false"/>
              <w:suppressAutoHyphens w:val="true"/>
              <w:snapToGrid w:val="false"/>
              <w:spacing w:lineRule="auto" w:line="276" w:before="120" w:after="12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RCT € 15.000.000,00 per sinistro e con il limite di € 15.000.000,00 per ogni persona e € 15.000.000,00 per danni a cose e/o animali; </w:t>
            </w:r>
          </w:p>
          <w:p>
            <w:pPr>
              <w:pStyle w:val="Corpodeltesto"/>
              <w:widowControl w:val="false"/>
              <w:suppressAutoHyphens w:val="true"/>
              <w:snapToGrid w:val="false"/>
              <w:spacing w:lineRule="auto" w:line="276" w:before="120" w:after="120"/>
              <w:jc w:val="both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RCO € 15.000.000,00 per sinistro e con il limite di € 5.000.000,00 per ogni persona</w:t>
            </w:r>
          </w:p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In caso di sinistro che interessi contemporaneamente le garanzie R.C.T. ed R.C.O., l’esposizione massima della Società non potrà superare € 30.000.000,00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Normal"/>
              <w:snapToGrid w:val="false"/>
              <w:spacing w:lineRule="auto" w:line="276" w:before="120" w:after="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Aumento dei massimali: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76"/>
              <w:ind w:left="290" w:hanging="284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RCT € 20.000.000,00 per sinistro e con il limite di € 20.000.000,00 per ogni persona e € 20.000.000,00 per danni a cose e/o animali;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120"/>
              <w:ind w:left="290" w:hanging="284"/>
              <w:jc w:val="both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RCO € 20.000.000,00 per sinistro e con il limite di € 5.000.000,00 per ogni persona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 caso di sinistro che interessi contemporaneamente le garanzie R.C.T. ed R.C.O., l’esposizione massima della Società non potrà superare € 35.000.000,00</w:t>
            </w:r>
            <w:r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Aumento dei massimali: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76"/>
              <w:ind w:left="290" w:hanging="284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RCT € 25.000.000,00 per sinistro e con il limite di € 25.000.000,00 per ogni persona e € 25.000.000,00 per danni a cose e/o animali;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120"/>
              <w:ind w:left="290" w:hanging="284"/>
              <w:jc w:val="both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RCO € 25.000.000,00 per sinistro e con il limite di € 5.000.000,00 per ogni persona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 caso di sinistro che interessi contemporaneamente le garanzie R.C.T. ed R.C.O., l’esposizione massima della Società non potrà superare € 35.000.000,00</w:t>
            </w:r>
            <w:r>
              <w:rPr>
                <w:rFonts w:ascii="Calibri" w:hAnsi="Calibri"/>
                <w:b/>
                <w:lang w:val="it-IT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+20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3)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Inserimento della Franchigia annua aggregata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Cs/>
                <w:i/>
                <w:i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18"/>
                <w:szCs w:val="18"/>
                <w:lang w:val="it-IT" w:eastAsia="en-US"/>
              </w:rPr>
              <w:t>(</w:t>
            </w:r>
            <w:r>
              <w:rPr>
                <w:rFonts w:cs="Arial" w:ascii="Calibri" w:hAnsi="Calibri" w:asciiTheme="minorHAnsi" w:hAnsiTheme="minorHAnsi"/>
                <w:bCs/>
                <w:i/>
                <w:sz w:val="18"/>
                <w:szCs w:val="18"/>
                <w:lang w:val="it-IT" w:eastAsia="en-US"/>
              </w:rPr>
              <w:t xml:space="preserve">DEFINIZIONI) </w:t>
            </w:r>
            <w:r>
              <w:rPr>
                <w:rFonts w:cs="Arial" w:ascii="Calibri" w:hAnsi="Calibri" w:asciiTheme="minorHAnsi" w:hAnsiTheme="minorHAnsi"/>
                <w:b/>
                <w:bCs/>
                <w:i/>
                <w:sz w:val="18"/>
                <w:szCs w:val="18"/>
                <w:lang w:val="it-IT" w:eastAsia="en-US"/>
              </w:rPr>
              <w:t>Franchigia aggregata annuale</w:t>
            </w:r>
          </w:p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jc w:val="both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i/>
                <w:sz w:val="18"/>
                <w:szCs w:val="18"/>
                <w:lang w:eastAsia="en-US"/>
              </w:rPr>
              <w:t>La sommatoria di singole franchigie che determina la massima esposizione finanziaria per periodo assicurativo a carico del Contraente, oltre la quale tutti i sinistri sono indennizzati integralmente dalla Società, ovverosia al superamento della somma attribuita alla franchigia aggregata annua tutti i sinistri saranno liquidati senza l'applicazione della franchigia prevista per singolo evento. Laddove il contratto preveda una franchigia in S.I.R., la franchigia aggregata annua si intende applicata per i sinistri in eccesso alla stessa.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i/>
                <w:i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i/>
                <w:sz w:val="18"/>
                <w:szCs w:val="18"/>
                <w:lang w:val="it-IT" w:eastAsia="en-US"/>
              </w:rPr>
              <w:t xml:space="preserve">(ARTICOLO) </w:t>
            </w:r>
            <w:r>
              <w:rPr>
                <w:rFonts w:cs="Arial" w:ascii="Calibri" w:hAnsi="Calibri" w:asciiTheme="minorHAnsi" w:hAnsiTheme="minorHAnsi"/>
                <w:b/>
                <w:bCs/>
                <w:i/>
                <w:sz w:val="18"/>
                <w:szCs w:val="18"/>
                <w:lang w:val="it-IT" w:eastAsia="en-US"/>
              </w:rPr>
              <w:t xml:space="preserve">FRANCHIGIA AGGREGATA ANNUA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i/>
                <w:i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i/>
                <w:sz w:val="18"/>
                <w:szCs w:val="18"/>
                <w:lang w:val="it-IT" w:eastAsia="en-US"/>
              </w:rPr>
              <w:t xml:space="preserve">La presente assicurazione è prestata con l’applicazione di una franchigia aggregata annua, pari a € xx.xxxxx (SI VEDA IMPORTO SOTTO). Gli importi rientranti nella franchigia frontale concorreranno ad erodere la franchigia aggregata annua, restando comunque inteso che l’importo massimo che potrà rimanere a carico del Contraente a titolo di franchigia aggregata non potrà eccedere l’importo della franchigia aggregata per anno. </w:t>
            </w:r>
          </w:p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ind w:left="34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cs="Arial" w:ascii="Calibri" w:hAnsi="Calibri" w:asciiTheme="minorHAnsi" w:hAnsiTheme="minorHAnsi"/>
                <w:bCs/>
                <w:i/>
                <w:sz w:val="18"/>
                <w:szCs w:val="18"/>
                <w:lang w:eastAsia="en-US"/>
              </w:rPr>
              <w:t>Al raggiungimento dell’importo aggregato annuale di cui sopra non si applicherà più la franchigia fissa per i sinistri occorsi nel periodo assicurativo di riferimento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€ 500.000,00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+5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+5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€ 450.000,00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</w:p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€ 400.000,00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+15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+15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€ 350.000,00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€ 300.000,00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+25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+25</w:t>
            </w: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it-IT"/>
              </w:rPr>
              <w:t>Inserimento Franchigia Aggregata annua di € 250.000,00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+30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4)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18"/>
                <w:szCs w:val="18"/>
                <w:lang w:val="it-IT" w:eastAsia="en-US"/>
              </w:rPr>
              <w:t xml:space="preserve">DANNI CAGIONATI DA RIGURGITO DI FOGNE E/O SPARGIMENTO LIQUIDI 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/>
                <w:bCs/>
                <w:sz w:val="18"/>
                <w:szCs w:val="18"/>
                <w:lang w:val="it-IT" w:eastAsia="en-US"/>
              </w:rPr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szCs w:val="18"/>
                <w:lang w:val="it-IT" w:eastAsia="en-US"/>
              </w:rPr>
              <w:t xml:space="preserve">La garanzia comprende la responsabilità civile derivante all’assicurato per danni da rigurgito di fogne e/o spargimento di liquidi che non siano conseguenti a rottura di impianti e/o tubazioni e/o condutture.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/>
                <w:bCs/>
                <w:sz w:val="18"/>
                <w:szCs w:val="18"/>
                <w:lang w:val="it-IT" w:eastAsia="en-US"/>
              </w:rPr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szCs w:val="18"/>
                <w:lang w:val="it-IT" w:eastAsia="en-US"/>
              </w:rPr>
              <w:t>Questa garanzia è prestata con l’applicazione di franchigia minima per sinistro pari alla franchigia frontale (SIR) e con il massimo risarcimento per sinistro e per periodo di assicurazione</w:t>
            </w:r>
            <w:r>
              <w:rPr>
                <w:rFonts w:cs="Arial" w:ascii="Calibri" w:hAnsi="Calibri" w:asciiTheme="minorHAnsi" w:hAnsiTheme="minorHAnsi"/>
                <w:b/>
                <w:bCs/>
                <w:sz w:val="18"/>
                <w:szCs w:val="18"/>
                <w:lang w:val="it-IT" w:eastAsia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sz w:val="18"/>
                <w:szCs w:val="18"/>
                <w:lang w:val="it-IT" w:eastAsia="en-US"/>
              </w:rPr>
              <w:t xml:space="preserve">di (SI VEDA QUANTO INDICATO SOTTO)   </w:t>
            </w:r>
          </w:p>
          <w:p>
            <w:pPr>
              <w:pStyle w:val="Corpodeltesto"/>
              <w:widowControl w:val="false"/>
              <w:snapToGrid w:val="false"/>
              <w:spacing w:lineRule="auto" w:line="276" w:before="120" w:after="120"/>
              <w:rPr>
                <w:rFonts w:ascii="Calibri" w:hAnsi="Calibri" w:asciiTheme="minorHAnsi" w:hAnsiTheme="minorHAnsi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  <w:lang w:val="it-IT" w:eastAsia="en-US"/>
              </w:rPr>
              <w:t>Inserimento della garanzia con il massimo risarcimento per sinistro e per periodo di assicurazione</w:t>
            </w: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it-IT" w:eastAsia="en-US"/>
              </w:rPr>
              <w:t xml:space="preserve"> di € 500.000,00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+5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+5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  <w:lang w:val="it-IT" w:eastAsia="en-US"/>
              </w:rPr>
              <w:t>Inserimento della garanzia con il massimo risarcimento per sinistro e per periodo di assicurazione</w:t>
            </w: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it-IT" w:eastAsia="en-US"/>
              </w:rPr>
              <w:t xml:space="preserve"> di € 1.000.000,00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  <w:lang w:val="it-IT" w:eastAsia="en-US"/>
              </w:rPr>
              <w:t>Inserimento della garanzia con il massimo risarcimento per sinistro e per periodo di assicurazione</w:t>
            </w: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it-IT" w:eastAsia="en-US"/>
              </w:rPr>
              <w:t xml:space="preserve"> di € 1.500.000,00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+15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</w:t>
            </w:r>
            <w:bookmarkStart w:id="2" w:name="_GoBack"/>
            <w:bookmarkEnd w:id="2"/>
            <w:r>
              <w:rPr>
                <w:rFonts w:cs="Arial" w:ascii="Calibri" w:hAnsi="Calibri"/>
                <w:sz w:val="22"/>
                <w:szCs w:val="22"/>
                <w:lang w:val="it-IT"/>
              </w:rPr>
              <w:t>5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5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8"/>
        <w:gridCol w:w="1260"/>
        <w:gridCol w:w="4429"/>
      </w:tblGrid>
      <w:tr>
        <w:trPr/>
        <w:tc>
          <w:tcPr>
            <w:tcW w:w="3888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Data…………………………………….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</w:r>
          </w:p>
        </w:tc>
        <w:tc>
          <w:tcPr>
            <w:tcW w:w="4429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Firma…………………………………</w:t>
            </w:r>
          </w:p>
        </w:tc>
      </w:tr>
    </w:tbl>
    <w:p>
      <w:pPr>
        <w:pStyle w:val="Normal"/>
        <w:tabs>
          <w:tab w:val="left" w:pos="360" w:leader="none"/>
        </w:tabs>
        <w:jc w:val="center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i/>
          <w:i/>
          <w:sz w:val="22"/>
          <w:szCs w:val="22"/>
          <w:lang w:val="it-IT"/>
        </w:rPr>
      </w:pPr>
      <w:r>
        <w:rPr>
          <w:rFonts w:cs="Tahoma" w:ascii="Calibri" w:hAnsi="Calibri"/>
          <w:i/>
          <w:sz w:val="22"/>
          <w:szCs w:val="22"/>
          <w:lang w:val="it-IT"/>
        </w:rPr>
        <w:t>Allegare copia fotostatica di un valido documento di riconoscimento del sottoscrittore.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Pidipagina"/>
      <w:jc w:val="right"/>
      <w:rPr>
        <w:rFonts w:ascii="Calibri" w:hAnsi="Calibri"/>
        <w:sz w:val="22"/>
        <w:szCs w:val="22"/>
        <w:lang w:val="it-IT"/>
      </w:rPr>
    </w:pPr>
    <w:r>
      <w:rPr>
        <w:rFonts w:ascii="Calibri" w:hAnsi="Calibri"/>
        <w:sz w:val="22"/>
        <w:szCs w:val="22"/>
        <w:lang w:val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e3a60"/>
    <w:pPr>
      <w:widowControl/>
      <w:bidi w:val="0"/>
      <w:jc w:val="left"/>
    </w:pPr>
    <w:rPr>
      <w:rFonts w:ascii="Tms Rmn" w:hAnsi="Tms Rmn" w:eastAsia="Times New Roman" w:cs="Times New Roman"/>
      <w:color w:val="00000A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link w:val="Corpotesto"/>
    <w:uiPriority w:val="99"/>
    <w:qFormat/>
    <w:rsid w:val="007e3a60"/>
    <w:rPr>
      <w:sz w:val="24"/>
      <w:szCs w:val="24"/>
      <w:lang w:val="it-IT" w:eastAsia="it-IT" w:bidi="ar-SA"/>
    </w:rPr>
  </w:style>
  <w:style w:type="character" w:styleId="TestonormaleCarattere" w:customStyle="1">
    <w:name w:val="Testo normale Carattere"/>
    <w:link w:val="Testonormale"/>
    <w:uiPriority w:val="99"/>
    <w:qFormat/>
    <w:rsid w:val="002364f8"/>
    <w:rPr>
      <w:rFonts w:ascii="Courier New" w:hAnsi="Courier New"/>
    </w:rPr>
  </w:style>
  <w:style w:type="character" w:styleId="IntestazioneCarattere" w:customStyle="1">
    <w:name w:val="Intestazione Carattere"/>
    <w:link w:val="Intestazione"/>
    <w:qFormat/>
    <w:rsid w:val="0005558d"/>
    <w:rPr>
      <w:rFonts w:ascii="Tms Rmn" w:hAnsi="Tms Rmn"/>
      <w:lang w:val="en-US"/>
    </w:rPr>
  </w:style>
  <w:style w:type="character" w:styleId="PidipaginaCarattere" w:customStyle="1">
    <w:name w:val="Piè di pagina Carattere"/>
    <w:link w:val="Pidipagina"/>
    <w:uiPriority w:val="99"/>
    <w:qFormat/>
    <w:rsid w:val="0005558d"/>
    <w:rPr>
      <w:rFonts w:ascii="Tms Rmn" w:hAnsi="Tms Rmn"/>
      <w:lang w:val="en-US"/>
    </w:rPr>
  </w:style>
  <w:style w:type="character" w:styleId="TestofumettoCarattere" w:customStyle="1">
    <w:name w:val="Testo fumetto Carattere"/>
    <w:link w:val="Testofumetto"/>
    <w:qFormat/>
    <w:rsid w:val="008e0322"/>
    <w:rPr>
      <w:rFonts w:ascii="Tahoma" w:hAnsi="Tahoma" w:cs="Tahoma"/>
      <w:sz w:val="16"/>
      <w:szCs w:val="16"/>
      <w:lang w:val="en-US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1e28fc"/>
    <w:rPr>
      <w:rFonts w:ascii="Tms Rmn" w:hAnsi="Tms Rmn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libri" w:hAnsi="Calibri" w:cs="Calibri"/>
      <w:b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 w:cs="Times New Roman"/>
      <w:sz w:val="1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e3a60"/>
    <w:pPr>
      <w:spacing w:before="0" w:after="120"/>
    </w:pPr>
    <w:rPr>
      <w:rFonts w:ascii="Times New Roman" w:hAnsi="Times New Roman"/>
      <w:sz w:val="24"/>
      <w:szCs w:val="24"/>
      <w:lang w:val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stonormaleCarattere"/>
    <w:uiPriority w:val="99"/>
    <w:qFormat/>
    <w:rsid w:val="002364f8"/>
    <w:pPr>
      <w:spacing w:before="0" w:after="240"/>
      <w:jc w:val="both"/>
    </w:pPr>
    <w:rPr>
      <w:rFonts w:ascii="Courier New" w:hAnsi="Courier New"/>
      <w:lang w:val="it-IT"/>
    </w:rPr>
  </w:style>
  <w:style w:type="paragraph" w:styleId="Intestazione">
    <w:name w:val="Header"/>
    <w:basedOn w:val="Normal"/>
    <w:link w:val="IntestazioneCarattere"/>
    <w:rsid w:val="0005558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05558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8e0322"/>
    <w:pPr/>
    <w:rPr>
      <w:rFonts w:ascii="Tahoma" w:hAnsi="Tahoma" w:cs="Tahoma"/>
      <w:sz w:val="16"/>
      <w:szCs w:val="16"/>
    </w:rPr>
  </w:style>
  <w:style w:type="paragraph" w:styleId="Provvr0" w:customStyle="1">
    <w:name w:val="provv_r0"/>
    <w:basedOn w:val="Normal"/>
    <w:uiPriority w:val="99"/>
    <w:qFormat/>
    <w:rsid w:val="00c565c3"/>
    <w:pPr>
      <w:spacing w:beforeAutospacing="1" w:afterAutospacing="1"/>
    </w:pPr>
    <w:rPr>
      <w:rFonts w:ascii="Times New Roman" w:hAnsi="Times New Roman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381811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qFormat/>
    <w:rsid w:val="001e28fc"/>
    <w:pPr>
      <w:spacing w:lineRule="auto" w:line="480" w:before="0" w:after="120"/>
      <w:ind w:left="283" w:hanging="0"/>
    </w:pPr>
    <w:rPr/>
  </w:style>
  <w:style w:type="paragraph" w:styleId="P3" w:customStyle="1">
    <w:name w:val="p3"/>
    <w:basedOn w:val="Normal"/>
    <w:uiPriority w:val="99"/>
    <w:qFormat/>
    <w:rsid w:val="00215f8f"/>
    <w:pPr>
      <w:widowControl w:val="false"/>
      <w:tabs>
        <w:tab w:val="left" w:pos="3760" w:leader="none"/>
        <w:tab w:val="left" w:pos="3920" w:leader="none"/>
      </w:tabs>
      <w:spacing w:lineRule="atLeast" w:line="240"/>
      <w:ind w:left="2320" w:hanging="0"/>
      <w:jc w:val="both"/>
    </w:pPr>
    <w:rPr>
      <w:rFonts w:ascii="Times New Roman" w:hAnsi="Times New Roman"/>
      <w:sz w:val="24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4A4D-9DE0-4B3B-9AB7-9487A0C9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LibreOffice/5.3.6.1$Windows_x86 LibreOffice_project/686f202eff87ef707079aeb7f485847613344eb7</Application>
  <Pages>5</Pages>
  <Words>1136</Words>
  <Characters>6358</Characters>
  <CharactersWithSpaces>7586</CharactersWithSpaces>
  <Paragraphs>110</Paragraphs>
  <Company>comune ferrara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2018-07-02T12:51:00Z</dcterms:created>
  <dc:creator>.</dc:creator>
  <dc:description/>
  <dc:language>it-IT</dc:language>
  <cp:lastModifiedBy/>
  <cp:lastPrinted>2019-08-14T09:27:24Z</cp:lastPrinted>
  <dcterms:modified xsi:type="dcterms:W3CDTF">2019-08-14T09:27:41Z</dcterms:modified>
  <cp:revision>27</cp:revision>
  <dc:subject/>
  <dc:title>Allegato D1)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ferrara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